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8A" w:rsidRPr="00C0418A" w:rsidRDefault="00C0418A" w:rsidP="002B197C">
      <w:pPr>
        <w:pStyle w:val="NormalWeb"/>
        <w:tabs>
          <w:tab w:val="left" w:pos="360"/>
        </w:tabs>
        <w:spacing w:before="0" w:beforeAutospacing="0" w:after="0" w:afterAutospacing="0"/>
        <w:ind w:left="360" w:hanging="360"/>
        <w:rPr>
          <w:rFonts w:ascii="Helvetica, sans-serif" w:hAnsi="Helvetica, sans-serif"/>
          <w:bCs/>
          <w:szCs w:val="26"/>
        </w:rPr>
      </w:pPr>
      <w:r w:rsidRPr="00C0418A">
        <w:rPr>
          <w:rFonts w:ascii="Helvetica, sans-serif" w:hAnsi="Helvetica, sans-serif"/>
          <w:bCs/>
          <w:szCs w:val="26"/>
        </w:rPr>
        <w:t xml:space="preserve">LOUIS J. SWIFT </w:t>
      </w:r>
    </w:p>
    <w:p w:rsidR="00C0418A" w:rsidRPr="00C0418A" w:rsidRDefault="00C0418A" w:rsidP="002B197C">
      <w:pPr>
        <w:pStyle w:val="NormalWeb"/>
        <w:tabs>
          <w:tab w:val="left" w:pos="360"/>
        </w:tabs>
        <w:spacing w:before="0" w:beforeAutospacing="0" w:after="0" w:afterAutospacing="0"/>
        <w:ind w:left="360" w:hanging="360"/>
        <w:rPr>
          <w:rFonts w:ascii="Helvetica, sans-serif" w:hAnsi="Helvetica, sans-serif"/>
          <w:bCs/>
          <w:szCs w:val="26"/>
        </w:rPr>
      </w:pPr>
      <w:r w:rsidRPr="00C0418A">
        <w:rPr>
          <w:rFonts w:ascii="Helvetica, sans-serif" w:hAnsi="Helvetica, sans-serif"/>
          <w:bCs/>
          <w:szCs w:val="26"/>
        </w:rPr>
        <w:t>PROFESSOR EMERITUS OF CLASSICS</w:t>
      </w:r>
    </w:p>
    <w:p w:rsidR="00C0418A" w:rsidRPr="00C0418A" w:rsidRDefault="00C0418A" w:rsidP="002B197C">
      <w:pPr>
        <w:pStyle w:val="NormalWeb"/>
        <w:tabs>
          <w:tab w:val="left" w:pos="360"/>
        </w:tabs>
        <w:spacing w:before="0" w:beforeAutospacing="0" w:after="0" w:afterAutospacing="0"/>
        <w:ind w:left="360" w:hanging="360"/>
        <w:rPr>
          <w:rFonts w:ascii="Helvetica, sans-serif" w:hAnsi="Helvetica, sans-serif"/>
          <w:bCs/>
          <w:szCs w:val="26"/>
        </w:rPr>
      </w:pPr>
      <w:r w:rsidRPr="00C0418A">
        <w:rPr>
          <w:rFonts w:ascii="Helvetica, sans-serif" w:hAnsi="Helvetica, sans-serif"/>
          <w:bCs/>
          <w:szCs w:val="26"/>
        </w:rPr>
        <w:tab/>
      </w:r>
      <w:r w:rsidRPr="00C0418A">
        <w:rPr>
          <w:rFonts w:ascii="Helvetica, sans-serif" w:hAnsi="Helvetica, sans-serif"/>
          <w:bCs/>
          <w:szCs w:val="26"/>
        </w:rPr>
        <w:tab/>
      </w:r>
    </w:p>
    <w:p w:rsidR="004B0787" w:rsidRDefault="004B0787" w:rsidP="004B0787">
      <w:pPr>
        <w:tabs>
          <w:tab w:val="left" w:pos="0"/>
        </w:tabs>
        <w:rPr>
          <w:rFonts w:ascii="Helvetica, sans-serif" w:hAnsi="Helvetica, sans-serif"/>
          <w:bCs/>
          <w:szCs w:val="26"/>
        </w:rPr>
      </w:pPr>
      <w:r>
        <w:t>Though now retired, he pursues one of his avocations which has to do with the history  of religion and politics in America, and he continues to teach an undergraduate course on this topic.</w:t>
      </w:r>
    </w:p>
    <w:p w:rsidR="004B0787" w:rsidRDefault="004B0787" w:rsidP="002B197C">
      <w:pPr>
        <w:tabs>
          <w:tab w:val="left" w:pos="360"/>
        </w:tabs>
        <w:ind w:left="360" w:hanging="360"/>
        <w:rPr>
          <w:rFonts w:ascii="Helvetica, sans-serif" w:hAnsi="Helvetica, sans-serif"/>
          <w:bCs/>
          <w:szCs w:val="26"/>
        </w:rPr>
      </w:pPr>
    </w:p>
    <w:p w:rsidR="00C0418A" w:rsidRDefault="00C0418A" w:rsidP="002B197C">
      <w:pPr>
        <w:tabs>
          <w:tab w:val="left" w:pos="360"/>
        </w:tabs>
        <w:ind w:left="360" w:hanging="360"/>
        <w:rPr>
          <w:rFonts w:ascii="Helvetica, sans-serif" w:hAnsi="Helvetica, sans-serif"/>
          <w:szCs w:val="26"/>
        </w:rPr>
      </w:pPr>
      <w:r w:rsidRPr="00C0418A">
        <w:rPr>
          <w:rFonts w:ascii="Helvetica, sans-serif" w:hAnsi="Helvetica, sans-serif"/>
          <w:bCs/>
          <w:szCs w:val="26"/>
        </w:rPr>
        <w:t xml:space="preserve">EDUCATION: </w:t>
      </w:r>
      <w:r w:rsidRPr="00C0418A">
        <w:rPr>
          <w:rFonts w:ascii="Helvetica, sans-serif" w:hAnsi="Helvetica, sans-serif"/>
          <w:bCs/>
          <w:szCs w:val="26"/>
        </w:rPr>
        <w:br/>
      </w:r>
      <w:r w:rsidRPr="00C0418A">
        <w:rPr>
          <w:rFonts w:ascii="Helvetica, sans-serif" w:hAnsi="Helvetica, sans-serif"/>
          <w:szCs w:val="26"/>
        </w:rPr>
        <w:t>A.B. St. Mary</w:t>
      </w:r>
      <w:r w:rsidRPr="00C0418A">
        <w:rPr>
          <w:rFonts w:ascii="Helvetica, sans-serif" w:hAnsi="Helvetica, sans-serif" w:hint="eastAsia"/>
          <w:szCs w:val="26"/>
        </w:rPr>
        <w:t>’</w:t>
      </w:r>
      <w:r w:rsidRPr="00C0418A">
        <w:rPr>
          <w:rFonts w:ascii="Helvetica, sans-serif" w:hAnsi="Helvetica, sans-serif"/>
          <w:szCs w:val="26"/>
        </w:rPr>
        <w:t xml:space="preserve">s University, Baltimore, Md., 1954 </w:t>
      </w:r>
      <w:r w:rsidRPr="00C0418A">
        <w:rPr>
          <w:rFonts w:ascii="Helvetica, sans-serif" w:hAnsi="Helvetica, sans-serif"/>
          <w:szCs w:val="26"/>
        </w:rPr>
        <w:br/>
        <w:t xml:space="preserve">S.T.B. Gregorian University, Rome, Italy, 1956 </w:t>
      </w:r>
      <w:r w:rsidRPr="00C0418A">
        <w:rPr>
          <w:rFonts w:ascii="Helvetica, sans-serif" w:hAnsi="Helvetica, sans-serif"/>
          <w:szCs w:val="26"/>
        </w:rPr>
        <w:br/>
        <w:t xml:space="preserve">M.A.T. Johns Hopkins University, Baltimore, Md., 1958 </w:t>
      </w:r>
      <w:r w:rsidRPr="00C0418A">
        <w:rPr>
          <w:rFonts w:ascii="Helvetica, sans-serif" w:hAnsi="Helvetica, sans-serif"/>
          <w:szCs w:val="26"/>
        </w:rPr>
        <w:br/>
        <w:t>Ph.D. Johns Hopkins University, Baltimore, Md., 1963</w:t>
      </w:r>
    </w:p>
    <w:p w:rsidR="00C0418A" w:rsidRDefault="00C0418A" w:rsidP="002B197C">
      <w:pPr>
        <w:tabs>
          <w:tab w:val="left" w:pos="360"/>
        </w:tabs>
        <w:ind w:left="360" w:hanging="360"/>
        <w:rPr>
          <w:rFonts w:ascii="Helvetica, sans-serif" w:hAnsi="Helvetica, sans-serif"/>
          <w:szCs w:val="26"/>
        </w:rPr>
      </w:pPr>
    </w:p>
    <w:p w:rsidR="00C0418A" w:rsidRDefault="00C0418A" w:rsidP="002B197C">
      <w:pPr>
        <w:tabs>
          <w:tab w:val="left" w:pos="360"/>
        </w:tabs>
        <w:ind w:left="360" w:hanging="360"/>
        <w:rPr>
          <w:rFonts w:ascii="Helvetica, sans-serif" w:hAnsi="Helvetica, sans-serif"/>
          <w:szCs w:val="26"/>
        </w:rPr>
      </w:pPr>
      <w:r>
        <w:rPr>
          <w:rFonts w:ascii="Helvetica, sans-serif" w:hAnsi="Helvetica, sans-serif"/>
          <w:szCs w:val="26"/>
        </w:rPr>
        <w:t>PREVIOUS POSITIONS:</w:t>
      </w:r>
    </w:p>
    <w:p w:rsidR="00C0418A" w:rsidRPr="00C0418A" w:rsidRDefault="002B197C" w:rsidP="002B197C">
      <w:pPr>
        <w:tabs>
          <w:tab w:val="left" w:pos="360"/>
        </w:tabs>
        <w:ind w:left="360" w:hanging="360"/>
        <w:rPr>
          <w:rFonts w:ascii="Helvetica, sans-serif" w:hAnsi="Helvetica, sans-serif"/>
          <w:szCs w:val="26"/>
        </w:rPr>
      </w:pPr>
      <w:r>
        <w:rPr>
          <w:rFonts w:ascii="Helvetica, sans-serif" w:hAnsi="Helvetica, sans-serif"/>
          <w:szCs w:val="26"/>
        </w:rPr>
        <w:tab/>
      </w:r>
      <w:r w:rsidR="00C0418A" w:rsidRPr="00C0418A">
        <w:rPr>
          <w:rFonts w:ascii="Helvetica, sans-serif" w:hAnsi="Helvetica, sans-serif"/>
          <w:szCs w:val="26"/>
        </w:rPr>
        <w:t>2002- 2007 Book Review Editor. Journal of Early Christian Studies</w:t>
      </w:r>
    </w:p>
    <w:p w:rsidR="002E6E62" w:rsidRDefault="002B197C" w:rsidP="002B197C">
      <w:pPr>
        <w:tabs>
          <w:tab w:val="left" w:pos="360"/>
        </w:tabs>
        <w:ind w:left="360" w:hanging="360"/>
        <w:rPr>
          <w:rFonts w:ascii="Helvetica, sans-serif" w:hAnsi="Helvetica, sans-serif"/>
          <w:szCs w:val="26"/>
        </w:rPr>
      </w:pPr>
      <w:r>
        <w:rPr>
          <w:rFonts w:ascii="Helvetica, sans-serif" w:hAnsi="Helvetica, sans-serif"/>
          <w:szCs w:val="26"/>
        </w:rPr>
        <w:tab/>
      </w:r>
      <w:r w:rsidR="002E6E62" w:rsidRPr="00C0418A">
        <w:rPr>
          <w:rFonts w:ascii="Helvetica, sans-serif" w:hAnsi="Helvetica, sans-serif"/>
          <w:szCs w:val="26"/>
        </w:rPr>
        <w:t>1996-98 Associate Vice Chancellor for Academic Affairs</w:t>
      </w:r>
    </w:p>
    <w:p w:rsidR="002E6E62" w:rsidRDefault="002B197C" w:rsidP="002B197C">
      <w:pPr>
        <w:tabs>
          <w:tab w:val="left" w:pos="360"/>
        </w:tabs>
        <w:ind w:left="360" w:hanging="360"/>
      </w:pPr>
      <w:r>
        <w:rPr>
          <w:rFonts w:ascii="Helvetica, sans-serif" w:hAnsi="Helvetica, sans-serif"/>
          <w:szCs w:val="26"/>
        </w:rPr>
        <w:tab/>
      </w:r>
      <w:r w:rsidR="002E6E62" w:rsidRPr="00C0418A">
        <w:rPr>
          <w:rFonts w:ascii="Helvetica, sans-serif" w:hAnsi="Helvetica, sans-serif"/>
          <w:szCs w:val="26"/>
        </w:rPr>
        <w:t>1990-99 Dean, Undergraduate Studies</w:t>
      </w:r>
    </w:p>
    <w:p w:rsidR="00C0418A" w:rsidRPr="00C0418A" w:rsidRDefault="002B197C" w:rsidP="002B197C">
      <w:pPr>
        <w:tabs>
          <w:tab w:val="left" w:pos="360"/>
        </w:tabs>
        <w:ind w:left="360" w:hanging="360"/>
        <w:rPr>
          <w:rFonts w:ascii="Helvetica, sans-serif" w:hAnsi="Helvetica, sans-serif"/>
          <w:szCs w:val="26"/>
        </w:rPr>
      </w:pPr>
      <w:r>
        <w:rPr>
          <w:rFonts w:ascii="Helvetica, sans-serif" w:hAnsi="Helvetica, sans-serif"/>
          <w:szCs w:val="26"/>
        </w:rPr>
        <w:tab/>
      </w:r>
      <w:r w:rsidR="002E6E62" w:rsidRPr="00C0418A">
        <w:rPr>
          <w:rFonts w:ascii="Helvetica, sans-serif" w:hAnsi="Helvetica, sans-serif"/>
          <w:szCs w:val="26"/>
        </w:rPr>
        <w:t>1986-99 Director, University Studies Program</w:t>
      </w:r>
    </w:p>
    <w:p w:rsidR="002E6E62" w:rsidRPr="00C0418A" w:rsidRDefault="002B197C" w:rsidP="002B197C">
      <w:pPr>
        <w:tabs>
          <w:tab w:val="left" w:pos="360"/>
        </w:tabs>
        <w:ind w:left="360" w:hanging="360"/>
        <w:rPr>
          <w:rFonts w:ascii="Helvetica, sans-serif" w:hAnsi="Helvetica, sans-serif"/>
          <w:szCs w:val="26"/>
        </w:rPr>
      </w:pPr>
      <w:r>
        <w:rPr>
          <w:rFonts w:ascii="Helvetica, sans-serif" w:hAnsi="Helvetica, sans-serif"/>
          <w:szCs w:val="26"/>
        </w:rPr>
        <w:tab/>
      </w:r>
      <w:r w:rsidR="002E6E62" w:rsidRPr="00C0418A">
        <w:rPr>
          <w:rFonts w:ascii="Helvetica, sans-serif" w:hAnsi="Helvetica, sans-serif"/>
          <w:szCs w:val="26"/>
        </w:rPr>
        <w:t>1982- 2001 Professor, Department of Classics, University of Kentucky</w:t>
      </w:r>
    </w:p>
    <w:p w:rsidR="002E6E62" w:rsidRPr="00C0418A" w:rsidRDefault="002E6E62" w:rsidP="00DE208D">
      <w:pPr>
        <w:tabs>
          <w:tab w:val="left" w:pos="360"/>
        </w:tabs>
        <w:ind w:left="360" w:hanging="360"/>
        <w:rPr>
          <w:rFonts w:ascii="Helvetica, sans-serif" w:hAnsi="Helvetica, sans-serif"/>
          <w:szCs w:val="26"/>
        </w:rPr>
      </w:pPr>
    </w:p>
    <w:p w:rsidR="00DE208D" w:rsidRDefault="00DE208D" w:rsidP="00DE208D">
      <w:pPr>
        <w:tabs>
          <w:tab w:val="left" w:pos="360"/>
        </w:tabs>
        <w:ind w:left="360" w:hanging="360"/>
      </w:pPr>
      <w:r>
        <w:t xml:space="preserve">HONORS: </w:t>
      </w:r>
    </w:p>
    <w:p w:rsidR="00DE208D" w:rsidRDefault="002B197C" w:rsidP="00DE208D">
      <w:pPr>
        <w:tabs>
          <w:tab w:val="left" w:pos="360"/>
        </w:tabs>
        <w:ind w:left="360" w:hanging="360"/>
      </w:pPr>
      <w:r>
        <w:tab/>
      </w:r>
      <w:r w:rsidR="00DE208D">
        <w:t xml:space="preserve">Light House Award for Promotion of Diversity on Campus, 1999 </w:t>
      </w:r>
    </w:p>
    <w:p w:rsidR="00DE208D" w:rsidRDefault="002B197C" w:rsidP="00DE208D">
      <w:pPr>
        <w:tabs>
          <w:tab w:val="left" w:pos="360"/>
        </w:tabs>
        <w:ind w:left="360" w:hanging="360"/>
      </w:pPr>
      <w:r>
        <w:tab/>
      </w:r>
      <w:r w:rsidR="00DE208D">
        <w:t xml:space="preserve">Pace Setter Award, National Academic Advisors Association, 1997 </w:t>
      </w:r>
    </w:p>
    <w:p w:rsidR="00DE208D" w:rsidRDefault="002B197C" w:rsidP="00DE208D">
      <w:pPr>
        <w:tabs>
          <w:tab w:val="left" w:pos="360"/>
        </w:tabs>
        <w:ind w:left="360" w:hanging="360"/>
      </w:pPr>
      <w:r>
        <w:tab/>
      </w:r>
      <w:r w:rsidR="00DE208D">
        <w:t xml:space="preserve">College of Arts and Sciences, Distinguished Professor, 1992 </w:t>
      </w:r>
    </w:p>
    <w:p w:rsidR="00DE208D" w:rsidRDefault="00DE208D" w:rsidP="00DE208D">
      <w:pPr>
        <w:tabs>
          <w:tab w:val="left" w:pos="360"/>
        </w:tabs>
        <w:ind w:left="360" w:hanging="360"/>
      </w:pPr>
    </w:p>
    <w:p w:rsidR="00DE208D" w:rsidRDefault="00DE208D" w:rsidP="00DE208D">
      <w:pPr>
        <w:tabs>
          <w:tab w:val="left" w:pos="360"/>
        </w:tabs>
        <w:ind w:left="360" w:hanging="360"/>
      </w:pPr>
      <w:r>
        <w:t xml:space="preserve">FELLOWSHIPS AND GRANTS: </w:t>
      </w:r>
    </w:p>
    <w:p w:rsidR="00DE208D" w:rsidRDefault="00DE208D" w:rsidP="00DE208D">
      <w:pPr>
        <w:tabs>
          <w:tab w:val="left" w:pos="360"/>
        </w:tabs>
        <w:ind w:left="360" w:hanging="360"/>
      </w:pPr>
      <w:r>
        <w:t xml:space="preserve">NEH Grant to organize “A Coordinated Approach to University Studies in Kentucky’s Community Colleges,” 1991-1992 </w:t>
      </w:r>
    </w:p>
    <w:p w:rsidR="00DE208D" w:rsidRDefault="00DE208D" w:rsidP="00DE208D">
      <w:pPr>
        <w:tabs>
          <w:tab w:val="left" w:pos="360"/>
        </w:tabs>
        <w:ind w:left="360" w:hanging="360"/>
      </w:pPr>
      <w:r>
        <w:t xml:space="preserve">Bicentennial Commission Grant to organize four public forums on “The Courts, The Community, and The Bill of Rights,” 1990-91 </w:t>
      </w:r>
    </w:p>
    <w:p w:rsidR="00DE208D" w:rsidRDefault="00DE208D" w:rsidP="00DE208D">
      <w:pPr>
        <w:tabs>
          <w:tab w:val="left" w:pos="360"/>
        </w:tabs>
        <w:ind w:left="360" w:hanging="360"/>
      </w:pPr>
      <w:r>
        <w:t xml:space="preserve">NEH Grant to organize and coordinate faculty seminar for curricular innovation in the University Studies Program, 1988-89 </w:t>
      </w:r>
    </w:p>
    <w:p w:rsidR="00DE208D" w:rsidRDefault="00DE208D" w:rsidP="00DE208D">
      <w:pPr>
        <w:tabs>
          <w:tab w:val="left" w:pos="360"/>
        </w:tabs>
        <w:ind w:left="360" w:hanging="360"/>
      </w:pPr>
      <w:r>
        <w:t xml:space="preserve">NEH Grant to Organize and Moderate panel on “The Classics and Early America,” Spring 1976 </w:t>
      </w:r>
    </w:p>
    <w:p w:rsidR="00DE208D" w:rsidRDefault="00DE208D" w:rsidP="00DE208D">
      <w:pPr>
        <w:tabs>
          <w:tab w:val="left" w:pos="360"/>
        </w:tabs>
        <w:ind w:left="360" w:hanging="360"/>
      </w:pPr>
    </w:p>
    <w:p w:rsidR="007D7384" w:rsidRDefault="007D7384" w:rsidP="007D7384">
      <w:pPr>
        <w:tabs>
          <w:tab w:val="left" w:pos="360"/>
        </w:tabs>
        <w:ind w:left="360" w:hanging="360"/>
      </w:pPr>
      <w:r>
        <w:t>RECENT PUBLICATIONS:</w:t>
      </w:r>
    </w:p>
    <w:p w:rsidR="00DE208D" w:rsidRDefault="007D7384" w:rsidP="007D7384">
      <w:pPr>
        <w:tabs>
          <w:tab w:val="left" w:pos="360"/>
        </w:tabs>
        <w:ind w:left="360" w:hanging="360"/>
      </w:pPr>
      <w:r w:rsidRPr="007D7384">
        <w:rPr>
          <w:rFonts w:hint="eastAsia"/>
        </w:rPr>
        <w:t>“</w:t>
      </w:r>
      <w:r w:rsidRPr="007D7384">
        <w:t>Early Christian Views on Violence, War and Peace,</w:t>
      </w:r>
      <w:r w:rsidRPr="007D7384">
        <w:rPr>
          <w:rFonts w:hint="eastAsia"/>
        </w:rPr>
        <w:t>”</w:t>
      </w:r>
      <w:r w:rsidRPr="007D7384">
        <w:t xml:space="preserve"> in K.A. Raaflaub, editor, </w:t>
      </w:r>
      <w:r w:rsidRPr="007D7384">
        <w:rPr>
          <w:i/>
        </w:rPr>
        <w:t xml:space="preserve">War and Peace in the Ancient World. </w:t>
      </w:r>
      <w:r w:rsidRPr="007D7384">
        <w:t>Blackwell (Oxford, 2007), 279-296.</w:t>
      </w:r>
    </w:p>
    <w:p w:rsidR="007D7384" w:rsidRDefault="007D7384" w:rsidP="007D7384">
      <w:pPr>
        <w:tabs>
          <w:tab w:val="left" w:pos="360"/>
        </w:tabs>
        <w:ind w:left="360" w:hanging="360"/>
      </w:pPr>
      <w:r w:rsidRPr="007D7384">
        <w:t xml:space="preserve">“Giving and Forgiving: Augustine on </w:t>
      </w:r>
      <w:r w:rsidRPr="007D7384">
        <w:rPr>
          <w:i/>
          <w:iCs/>
        </w:rPr>
        <w:t xml:space="preserve">Eleemosyna </w:t>
      </w:r>
      <w:r w:rsidRPr="007D7384">
        <w:t xml:space="preserve">and </w:t>
      </w:r>
      <w:r w:rsidRPr="007D7384">
        <w:rPr>
          <w:i/>
          <w:iCs/>
        </w:rPr>
        <w:t>Misericordia,</w:t>
      </w:r>
      <w:r w:rsidRPr="007D7384">
        <w:rPr>
          <w:rFonts w:hint="eastAsia"/>
          <w:i/>
          <w:iCs/>
        </w:rPr>
        <w:t>”</w:t>
      </w:r>
      <w:r w:rsidRPr="007D7384">
        <w:rPr>
          <w:i/>
          <w:iCs/>
        </w:rPr>
        <w:t xml:space="preserve"> Augustinian Studies </w:t>
      </w:r>
      <w:r w:rsidRPr="007D7384">
        <w:t>32 (2001), 25-36</w:t>
      </w:r>
    </w:p>
    <w:p w:rsidR="007D7384" w:rsidRDefault="007D7384" w:rsidP="007D7384">
      <w:pPr>
        <w:tabs>
          <w:tab w:val="left" w:pos="360"/>
        </w:tabs>
        <w:ind w:left="360" w:hanging="360"/>
      </w:pPr>
      <w:r w:rsidRPr="007D7384">
        <w:t xml:space="preserve">“Augustine on </w:t>
      </w:r>
      <w:r w:rsidRPr="007D7384">
        <w:rPr>
          <w:i/>
          <w:iCs/>
        </w:rPr>
        <w:t xml:space="preserve">Fama: </w:t>
      </w:r>
      <w:r w:rsidRPr="007D7384">
        <w:t xml:space="preserve">the Case of Pinianus,” </w:t>
      </w:r>
      <w:r w:rsidRPr="007D7384">
        <w:rPr>
          <w:i/>
          <w:iCs/>
        </w:rPr>
        <w:t xml:space="preserve">Nova et Vetera: Studies in Honor of Thomas Patrick Halton, </w:t>
      </w:r>
      <w:r w:rsidRPr="007D7384">
        <w:t>ed. J. Petruccione (Washington 1998) 196-205.</w:t>
      </w:r>
    </w:p>
    <w:p w:rsidR="007D7384" w:rsidRDefault="002B197C" w:rsidP="007D7384">
      <w:pPr>
        <w:tabs>
          <w:tab w:val="left" w:pos="360"/>
        </w:tabs>
        <w:ind w:left="360" w:hanging="360"/>
      </w:pPr>
      <w:r w:rsidRPr="007D7384">
        <w:t xml:space="preserve">“Tithing” and “Usury” in </w:t>
      </w:r>
      <w:r w:rsidRPr="007D7384">
        <w:rPr>
          <w:i/>
          <w:iCs/>
        </w:rPr>
        <w:t xml:space="preserve">Encyclopedia of Early Christianity </w:t>
      </w:r>
      <w:r w:rsidRPr="007D7384">
        <w:t>2nd edition, New York (1997) (also updated entries on “Ambrose” and “Almsgiving.”)</w:t>
      </w:r>
    </w:p>
    <w:p w:rsidR="002B197C" w:rsidRDefault="002B197C" w:rsidP="007D7384">
      <w:pPr>
        <w:tabs>
          <w:tab w:val="left" w:pos="360"/>
        </w:tabs>
        <w:ind w:left="360" w:hanging="360"/>
      </w:pPr>
      <w:r w:rsidRPr="007D7384">
        <w:t xml:space="preserve"> </w:t>
      </w:r>
      <w:r w:rsidR="007D7384" w:rsidRPr="007D7384">
        <w:t xml:space="preserve">“Teaching Portfolios at a Research University,” </w:t>
      </w:r>
      <w:r w:rsidR="007D7384" w:rsidRPr="007D7384">
        <w:rPr>
          <w:i/>
        </w:rPr>
        <w:t>Journal on Excellence in College</w:t>
      </w:r>
      <w:r w:rsidR="007D7384" w:rsidRPr="007D7384">
        <w:t xml:space="preserve"> </w:t>
      </w:r>
      <w:r w:rsidR="007D7384" w:rsidRPr="007D7384">
        <w:rPr>
          <w:i/>
        </w:rPr>
        <w:t>Teaching</w:t>
      </w:r>
      <w:r w:rsidR="007D7384" w:rsidRPr="007D7384">
        <w:t xml:space="preserve"> 6 (1995)101-115 (co-authored with Joe T. Davis). </w:t>
      </w:r>
    </w:p>
    <w:p w:rsidR="002E6E62" w:rsidRDefault="002B197C" w:rsidP="004B0787">
      <w:pPr>
        <w:tabs>
          <w:tab w:val="left" w:pos="360"/>
        </w:tabs>
        <w:ind w:left="360" w:hanging="360"/>
        <w:rPr>
          <w:rFonts w:asciiTheme="minorHAnsi" w:eastAsiaTheme="minorHAnsi" w:hAnsiTheme="minorHAnsi" w:cstheme="minorBidi"/>
        </w:rPr>
      </w:pPr>
      <w:r w:rsidRPr="007D7384">
        <w:t xml:space="preserve">“Ambrose” and “Almsgiving” in </w:t>
      </w:r>
      <w:r w:rsidRPr="007D7384">
        <w:rPr>
          <w:i/>
          <w:iCs/>
        </w:rPr>
        <w:t xml:space="preserve">The Encyclopedia of Early Christianity, </w:t>
      </w:r>
      <w:r>
        <w:t>New York (1990).</w:t>
      </w:r>
    </w:p>
    <w:sectPr w:rsidR="002E6E62" w:rsidSect="00C0418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0418A"/>
    <w:rsid w:val="00057C1F"/>
    <w:rsid w:val="002B197C"/>
    <w:rsid w:val="002E6E62"/>
    <w:rsid w:val="004B0787"/>
    <w:rsid w:val="007D7384"/>
    <w:rsid w:val="00C0418A"/>
    <w:rsid w:val="00DE208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41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uiPriority w:val="99"/>
    <w:semiHidden/>
    <w:unhideWhenUsed/>
    <w:rsid w:val="007D0D40"/>
    <w:pPr>
      <w:framePr w:w="7920" w:h="1980" w:hRule="exact" w:hSpace="180" w:wrap="auto" w:hAnchor="page" w:xAlign="center" w:yAlign="bottom"/>
      <w:ind w:left="2880"/>
    </w:pPr>
    <w:rPr>
      <w:rFonts w:ascii="Verdana" w:eastAsiaTheme="majorEastAsia" w:hAnsi="Verdana" w:cstheme="majorBidi"/>
      <w:b/>
      <w:sz w:val="26"/>
    </w:rPr>
  </w:style>
  <w:style w:type="paragraph" w:styleId="EnvelopeReturn">
    <w:name w:val="envelope return"/>
    <w:basedOn w:val="Normal"/>
    <w:uiPriority w:val="99"/>
    <w:semiHidden/>
    <w:unhideWhenUsed/>
    <w:rsid w:val="0031163C"/>
    <w:rPr>
      <w:rFonts w:ascii="Verdana" w:eastAsiaTheme="majorEastAsia" w:hAnsi="Verdana" w:cstheme="majorBidi"/>
      <w:sz w:val="20"/>
      <w:szCs w:val="20"/>
    </w:rPr>
  </w:style>
  <w:style w:type="paragraph" w:styleId="NormalWeb">
    <w:name w:val="Normal (Web)"/>
    <w:basedOn w:val="Normal"/>
    <w:rsid w:val="00C041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1683</Characters>
  <Application>Microsoft Macintosh Word</Application>
  <DocSecurity>0</DocSecurity>
  <Lines>14</Lines>
  <Paragraphs>3</Paragraphs>
  <ScaleCrop>false</ScaleCrop>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Francis</dc:creator>
  <cp:keywords/>
  <cp:lastModifiedBy>James A. Francis</cp:lastModifiedBy>
  <cp:revision>2</cp:revision>
  <dcterms:created xsi:type="dcterms:W3CDTF">2011-12-05T18:23:00Z</dcterms:created>
  <dcterms:modified xsi:type="dcterms:W3CDTF">2011-12-05T18:37:00Z</dcterms:modified>
</cp:coreProperties>
</file>